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tabs>
          <w:tab w:val="left" w:pos="360"/>
          <w:tab w:val="left" w:pos="900"/>
        </w:tabs>
        <w:snapToGrid w:val="0"/>
        <w:spacing w:line="360" w:lineRule="auto"/>
        <w:jc w:val="center"/>
        <w:outlineLvl w:val="1"/>
        <w:rPr>
          <w:b/>
        </w:rPr>
      </w:pPr>
      <w:r>
        <w:rPr>
          <w:b/>
          <w:sz w:val="24"/>
        </w:rPr>
        <w:t>二、评</w:t>
      </w:r>
      <w:r>
        <w:rPr>
          <w:rFonts w:hint="eastAsia"/>
          <w:b/>
          <w:sz w:val="24"/>
          <w:lang w:val="en-US" w:eastAsia="zh-CN"/>
        </w:rPr>
        <w:t>分</w:t>
      </w:r>
      <w:bookmarkStart w:id="1" w:name="_GoBack"/>
      <w:bookmarkEnd w:id="1"/>
      <w:r>
        <w:rPr>
          <w:b/>
          <w:sz w:val="24"/>
        </w:rPr>
        <w:t>标准</w:t>
      </w:r>
    </w:p>
    <w:p>
      <w:pPr>
        <w:tabs>
          <w:tab w:val="left" w:pos="360"/>
          <w:tab w:val="left" w:pos="1080"/>
        </w:tabs>
        <w:snapToGrid w:val="0"/>
        <w:spacing w:line="360" w:lineRule="auto"/>
        <w:ind w:left="1080"/>
        <w:rPr>
          <w:color w:val="000000"/>
          <w:sz w:val="24"/>
        </w:rPr>
      </w:pPr>
    </w:p>
    <w:tbl>
      <w:tblPr>
        <w:tblStyle w:val="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796"/>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b/>
                <w:sz w:val="24"/>
              </w:rPr>
            </w:pPr>
            <w:r>
              <w:rPr>
                <w:b/>
                <w:sz w:val="24"/>
              </w:rPr>
              <w:t>序号</w:t>
            </w:r>
          </w:p>
        </w:tc>
        <w:tc>
          <w:tcPr>
            <w:tcW w:w="1462" w:type="dxa"/>
            <w:vAlign w:val="center"/>
          </w:tcPr>
          <w:p>
            <w:pPr>
              <w:ind w:firstLine="28"/>
              <w:jc w:val="center"/>
              <w:rPr>
                <w:b/>
                <w:sz w:val="24"/>
              </w:rPr>
            </w:pPr>
            <w:r>
              <w:rPr>
                <w:b/>
                <w:sz w:val="24"/>
              </w:rPr>
              <w:t>评分因素</w:t>
            </w:r>
          </w:p>
        </w:tc>
        <w:tc>
          <w:tcPr>
            <w:tcW w:w="913" w:type="dxa"/>
            <w:vAlign w:val="center"/>
          </w:tcPr>
          <w:p>
            <w:pPr>
              <w:ind w:firstLine="28"/>
              <w:jc w:val="center"/>
              <w:rPr>
                <w:b/>
                <w:sz w:val="24"/>
              </w:rPr>
            </w:pPr>
            <w:r>
              <w:rPr>
                <w:b/>
                <w:sz w:val="24"/>
              </w:rPr>
              <w:t>分值</w:t>
            </w:r>
          </w:p>
        </w:tc>
        <w:tc>
          <w:tcPr>
            <w:tcW w:w="3796" w:type="dxa"/>
            <w:vAlign w:val="center"/>
          </w:tcPr>
          <w:p>
            <w:pPr>
              <w:ind w:firstLine="28"/>
              <w:jc w:val="center"/>
              <w:rPr>
                <w:b/>
                <w:sz w:val="24"/>
              </w:rPr>
            </w:pPr>
            <w:r>
              <w:rPr>
                <w:b/>
                <w:sz w:val="24"/>
              </w:rPr>
              <w:t>评分标准</w:t>
            </w:r>
          </w:p>
        </w:tc>
        <w:tc>
          <w:tcPr>
            <w:tcW w:w="2622" w:type="dxa"/>
            <w:vAlign w:val="center"/>
          </w:tcPr>
          <w:p>
            <w:pPr>
              <w:pStyle w:val="4"/>
              <w:spacing w:before="0" w:after="0" w:line="240" w:lineRule="auto"/>
              <w:rPr>
                <w:rFonts w:eastAsia="宋体"/>
                <w:szCs w:val="24"/>
              </w:rPr>
            </w:pPr>
            <w:r>
              <w:rPr>
                <w:rFonts w:eastAsia="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pPr>
              <w:ind w:firstLine="28"/>
              <w:jc w:val="center"/>
              <w:rPr>
                <w:b/>
                <w:sz w:val="24"/>
              </w:rPr>
            </w:pPr>
            <w:r>
              <w:rPr>
                <w:rFonts w:hint="eastAsia"/>
                <w:b/>
                <w:sz w:val="24"/>
              </w:rPr>
              <w:t>1</w:t>
            </w:r>
          </w:p>
        </w:tc>
        <w:tc>
          <w:tcPr>
            <w:tcW w:w="1462" w:type="dxa"/>
            <w:vAlign w:val="center"/>
          </w:tcPr>
          <w:p>
            <w:pPr>
              <w:ind w:firstLine="28"/>
              <w:jc w:val="center"/>
              <w:rPr>
                <w:sz w:val="24"/>
              </w:rPr>
            </w:pPr>
            <w:r>
              <w:rPr>
                <w:rFonts w:hint="eastAsia" w:ascii="宋体" w:hAnsi="宋体"/>
                <w:bCs/>
                <w:sz w:val="24"/>
              </w:rPr>
              <w:t>相关业绩</w:t>
            </w:r>
          </w:p>
        </w:tc>
        <w:tc>
          <w:tcPr>
            <w:tcW w:w="913" w:type="dxa"/>
            <w:vAlign w:val="center"/>
          </w:tcPr>
          <w:p>
            <w:pPr>
              <w:ind w:firstLine="28"/>
              <w:jc w:val="center"/>
              <w:rPr>
                <w:b/>
                <w:sz w:val="24"/>
              </w:rPr>
            </w:pPr>
            <w:r>
              <w:rPr>
                <w:rFonts w:hint="eastAsia"/>
                <w:b/>
                <w:sz w:val="24"/>
              </w:rPr>
              <w:t>10</w:t>
            </w:r>
          </w:p>
        </w:tc>
        <w:tc>
          <w:tcPr>
            <w:tcW w:w="3796" w:type="dxa"/>
            <w:vAlign w:val="center"/>
          </w:tcPr>
          <w:p>
            <w:pPr>
              <w:rPr>
                <w:rFonts w:ascii="宋体" w:hAnsi="宋体" w:cs="Tahoma"/>
                <w:kern w:val="0"/>
                <w:sz w:val="24"/>
              </w:rPr>
            </w:pPr>
            <w:r>
              <w:rPr>
                <w:rFonts w:hint="eastAsia" w:ascii="宋体" w:hAnsi="宋体" w:cs="Tahoma"/>
                <w:kern w:val="0"/>
                <w:sz w:val="24"/>
              </w:rPr>
              <w:t>业绩：审查投标人近三年（20</w:t>
            </w:r>
            <w:r>
              <w:rPr>
                <w:rFonts w:hint="eastAsia" w:ascii="宋体" w:hAnsi="宋体" w:cs="Tahoma"/>
                <w:kern w:val="0"/>
                <w:sz w:val="24"/>
                <w:lang w:val="en-US" w:eastAsia="zh-CN"/>
              </w:rPr>
              <w:t>21</w:t>
            </w:r>
            <w:r>
              <w:rPr>
                <w:rFonts w:hint="eastAsia" w:ascii="宋体" w:hAnsi="宋体" w:cs="Tahoma"/>
                <w:kern w:val="0"/>
                <w:sz w:val="24"/>
              </w:rPr>
              <w:t>.6.30至开标之日，以合同签订日期为准）完成的相关项目业绩。每项有效业绩得1分，最高10分。</w:t>
            </w:r>
          </w:p>
        </w:tc>
        <w:tc>
          <w:tcPr>
            <w:tcW w:w="2622" w:type="dxa"/>
            <w:vAlign w:val="center"/>
          </w:tcPr>
          <w:p>
            <w:pPr>
              <w:pStyle w:val="4"/>
              <w:spacing w:before="0" w:after="0" w:line="240" w:lineRule="auto"/>
              <w:rPr>
                <w:rFonts w:eastAsia="宋体"/>
                <w:szCs w:val="24"/>
              </w:rPr>
            </w:pPr>
            <w:r>
              <w:rPr>
                <w:rFonts w:hint="eastAsia" w:ascii="宋体" w:hAnsi="宋体" w:cs="Tahoma"/>
                <w:kern w:val="0"/>
              </w:rPr>
              <w:t>须提供供货合同复印件作为证明文件，且须包括合同首页、合同金额页、供货产品内容页及签署盖章页等关键页并加盖公章，否则不得分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835" w:type="dxa"/>
            <w:vAlign w:val="center"/>
          </w:tcPr>
          <w:p>
            <w:pPr>
              <w:ind w:firstLine="28"/>
              <w:jc w:val="center"/>
              <w:rPr>
                <w:rFonts w:hint="eastAsia" w:eastAsiaTheme="minorEastAsia"/>
                <w:b/>
                <w:sz w:val="24"/>
                <w:lang w:val="en-US" w:eastAsia="zh-CN"/>
              </w:rPr>
            </w:pPr>
            <w:r>
              <w:rPr>
                <w:rFonts w:hint="eastAsia"/>
                <w:b/>
                <w:sz w:val="24"/>
                <w:lang w:val="en-US" w:eastAsia="zh-CN"/>
              </w:rPr>
              <w:t>2</w:t>
            </w:r>
          </w:p>
        </w:tc>
        <w:tc>
          <w:tcPr>
            <w:tcW w:w="1462" w:type="dxa"/>
            <w:vAlign w:val="center"/>
          </w:tcPr>
          <w:p>
            <w:pPr>
              <w:ind w:firstLine="28"/>
              <w:jc w:val="center"/>
              <w:rPr>
                <w:rFonts w:hint="default" w:ascii="宋体" w:hAnsi="宋体" w:eastAsiaTheme="minorEastAsia"/>
                <w:sz w:val="24"/>
                <w:lang w:val="en-US" w:eastAsia="zh-CN"/>
              </w:rPr>
            </w:pPr>
            <w:r>
              <w:rPr>
                <w:rFonts w:hint="eastAsia" w:ascii="宋体" w:hAnsi="宋体"/>
                <w:sz w:val="24"/>
                <w:lang w:val="en-US" w:eastAsia="zh-CN"/>
              </w:rPr>
              <w:t>所配送产品综合评价</w:t>
            </w:r>
          </w:p>
        </w:tc>
        <w:tc>
          <w:tcPr>
            <w:tcW w:w="913" w:type="dxa"/>
            <w:vAlign w:val="center"/>
          </w:tcPr>
          <w:p>
            <w:pPr>
              <w:ind w:firstLine="28"/>
              <w:jc w:val="center"/>
              <w:rPr>
                <w:rFonts w:hint="default"/>
                <w:b/>
                <w:sz w:val="24"/>
                <w:lang w:val="en-US" w:eastAsia="zh-CN"/>
              </w:rPr>
            </w:pPr>
            <w:r>
              <w:rPr>
                <w:rFonts w:hint="eastAsia"/>
                <w:b/>
                <w:sz w:val="24"/>
                <w:lang w:val="en-US" w:eastAsia="zh-CN"/>
              </w:rPr>
              <w:t>15</w:t>
            </w:r>
          </w:p>
        </w:tc>
        <w:tc>
          <w:tcPr>
            <w:tcW w:w="3796" w:type="dxa"/>
            <w:vAlign w:val="center"/>
          </w:tcPr>
          <w:p>
            <w:pPr>
              <w:rPr>
                <w:rFonts w:hint="eastAsia" w:ascii="宋体" w:hAnsi="宋体" w:cs="Tahoma"/>
                <w:kern w:val="0"/>
                <w:sz w:val="24"/>
                <w:lang w:val="en-US" w:eastAsia="zh-CN"/>
              </w:rPr>
            </w:pPr>
            <w:r>
              <w:rPr>
                <w:rFonts w:hint="eastAsia" w:ascii="宋体" w:hAnsi="宋体" w:cs="Tahoma"/>
                <w:kern w:val="0"/>
                <w:sz w:val="24"/>
                <w:lang w:val="en-US" w:eastAsia="zh-CN"/>
              </w:rPr>
              <w:t>投标人对所配送产品安全性性价比进行阐述，评标委员会进行综合评审：</w:t>
            </w:r>
          </w:p>
          <w:p>
            <w:pPr>
              <w:rPr>
                <w:rFonts w:hint="eastAsia" w:ascii="宋体" w:hAnsi="宋体" w:cs="Tahoma"/>
                <w:kern w:val="0"/>
                <w:sz w:val="24"/>
                <w:lang w:val="en-US" w:eastAsia="zh-CN"/>
              </w:rPr>
            </w:pPr>
            <w:r>
              <w:rPr>
                <w:rFonts w:hint="eastAsia" w:ascii="宋体" w:hAnsi="宋体" w:cs="Tahoma"/>
                <w:kern w:val="0"/>
                <w:sz w:val="24"/>
                <w:lang w:val="en-US" w:eastAsia="zh-CN"/>
              </w:rPr>
              <w:t>1、所配送产品安全性可靠、供应链稳定、生产工艺精细先进、耐久性及使用便利性强，有利于项目实施的，得15分：</w:t>
            </w:r>
          </w:p>
          <w:p>
            <w:pPr>
              <w:rPr>
                <w:rFonts w:hint="eastAsia"/>
                <w:sz w:val="24"/>
                <w:lang w:val="en-US" w:eastAsia="zh-CN"/>
              </w:rPr>
            </w:pPr>
            <w:r>
              <w:rPr>
                <w:rFonts w:hint="eastAsia" w:ascii="宋体" w:hAnsi="宋体" w:cs="Tahoma"/>
                <w:kern w:val="0"/>
                <w:sz w:val="24"/>
                <w:lang w:val="en-US" w:eastAsia="zh-CN"/>
              </w:rPr>
              <w:t>2、所配送产品安全性稳定、供应链较完善，生产工艺较为稳定，基本满足项目需所配送产品求的，得10分：</w:t>
            </w:r>
            <w:r>
              <w:rPr>
                <w:rFonts w:hint="eastAsia"/>
                <w:sz w:val="24"/>
                <w:lang w:val="en-US" w:eastAsia="zh-CN"/>
              </w:rPr>
              <w:t xml:space="preserve"> </w:t>
            </w:r>
          </w:p>
          <w:p>
            <w:pPr>
              <w:jc w:val="both"/>
              <w:rPr>
                <w:rFonts w:hint="eastAsia"/>
                <w:sz w:val="24"/>
                <w:lang w:val="en-US" w:eastAsia="zh-CN"/>
              </w:rPr>
            </w:pPr>
            <w:r>
              <w:rPr>
                <w:rFonts w:hint="eastAsia"/>
                <w:sz w:val="24"/>
                <w:lang w:val="en-US" w:eastAsia="zh-CN"/>
              </w:rPr>
              <w:t>3、所配送产品安全性有待提升、生产工艺粗糙，与项目需求有偏差的，得5分。</w:t>
            </w:r>
          </w:p>
          <w:p>
            <w:pPr>
              <w:jc w:val="both"/>
              <w:rPr>
                <w:rFonts w:hint="eastAsia"/>
                <w:sz w:val="24"/>
                <w:lang w:val="en-US" w:eastAsia="zh-CN"/>
              </w:rPr>
            </w:pPr>
            <w:r>
              <w:rPr>
                <w:rFonts w:hint="eastAsia"/>
                <w:sz w:val="24"/>
                <w:lang w:val="en-US" w:eastAsia="zh-CN"/>
              </w:rPr>
              <w:t>4、未提供的不得分。</w:t>
            </w:r>
          </w:p>
          <w:p>
            <w:pPr>
              <w:jc w:val="both"/>
              <w:rPr>
                <w:rFonts w:hint="eastAsia"/>
                <w:sz w:val="24"/>
                <w:lang w:val="en-US" w:eastAsia="zh-CN"/>
              </w:rPr>
            </w:pPr>
          </w:p>
        </w:tc>
        <w:tc>
          <w:tcPr>
            <w:tcW w:w="2622" w:type="dxa"/>
            <w:vAlign w:val="center"/>
          </w:tcPr>
          <w:p>
            <w:pPr>
              <w:pStyle w:val="4"/>
              <w:spacing w:before="0" w:after="0" w:line="240" w:lineRule="auto"/>
              <w:rPr>
                <w:rFonts w:eastAsia="宋体"/>
                <w:szCs w:val="24"/>
              </w:rPr>
            </w:pPr>
            <w:r>
              <w:rPr>
                <w:rFonts w:hint="eastAsia"/>
                <w:sz w:val="24"/>
                <w:lang w:val="en-US" w:eastAsia="zh-CN"/>
              </w:rPr>
              <w:t>注：投标文件中提供相关证明材料扫描件证明所配送产品综合性能情况，具体形式不限，如产品说明书、技术彩页资料、所获荣誉奖项等，未提供任何材料的不得分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5" w:type="dxa"/>
            <w:vAlign w:val="center"/>
          </w:tcPr>
          <w:p>
            <w:pPr>
              <w:ind w:firstLine="28"/>
              <w:jc w:val="center"/>
              <w:rPr>
                <w:b/>
                <w:sz w:val="24"/>
              </w:rPr>
            </w:pPr>
            <w:r>
              <w:rPr>
                <w:rFonts w:hint="eastAsia"/>
                <w:b/>
                <w:sz w:val="24"/>
              </w:rPr>
              <w:t>3</w:t>
            </w:r>
          </w:p>
        </w:tc>
        <w:tc>
          <w:tcPr>
            <w:tcW w:w="1462" w:type="dxa"/>
            <w:vAlign w:val="center"/>
          </w:tcPr>
          <w:p>
            <w:pPr>
              <w:ind w:firstLine="28"/>
              <w:jc w:val="center"/>
              <w:rPr>
                <w:rFonts w:hint="default" w:eastAsiaTheme="minorEastAsia"/>
                <w:sz w:val="24"/>
                <w:lang w:val="en-US" w:eastAsia="zh-CN"/>
              </w:rPr>
            </w:pPr>
            <w:r>
              <w:rPr>
                <w:rFonts w:hint="eastAsia" w:ascii="宋体" w:hAnsi="宋体"/>
                <w:sz w:val="24"/>
                <w:lang w:val="en-US" w:eastAsia="zh-CN"/>
              </w:rPr>
              <w:t>供货方案</w:t>
            </w:r>
          </w:p>
        </w:tc>
        <w:tc>
          <w:tcPr>
            <w:tcW w:w="913" w:type="dxa"/>
            <w:vAlign w:val="center"/>
          </w:tcPr>
          <w:p>
            <w:pPr>
              <w:ind w:firstLine="28"/>
              <w:jc w:val="center"/>
              <w:rPr>
                <w:rFonts w:hint="default" w:eastAsiaTheme="minorEastAsia"/>
                <w:b/>
                <w:sz w:val="24"/>
                <w:lang w:val="en-US" w:eastAsia="zh-CN"/>
              </w:rPr>
            </w:pPr>
            <w:r>
              <w:rPr>
                <w:rFonts w:hint="eastAsia"/>
                <w:b/>
                <w:sz w:val="24"/>
                <w:lang w:val="en-US" w:eastAsia="zh-CN"/>
              </w:rPr>
              <w:t>15</w:t>
            </w:r>
          </w:p>
        </w:tc>
        <w:tc>
          <w:tcPr>
            <w:tcW w:w="3796" w:type="dxa"/>
            <w:vAlign w:val="center"/>
          </w:tcPr>
          <w:p>
            <w:pPr>
              <w:rPr>
                <w:rFonts w:hint="eastAsia" w:ascii="宋体" w:hAnsi="宋体" w:cs="Tahoma"/>
                <w:kern w:val="0"/>
                <w:sz w:val="24"/>
                <w:lang w:val="en-US" w:eastAsia="zh-CN"/>
              </w:rPr>
            </w:pPr>
            <w:r>
              <w:rPr>
                <w:rFonts w:hint="eastAsia" w:ascii="宋体" w:hAnsi="宋体" w:cs="Tahoma"/>
                <w:kern w:val="0"/>
                <w:sz w:val="24"/>
                <w:lang w:val="en-US" w:eastAsia="zh-CN"/>
              </w:rPr>
              <w:t>根据投标人所提供的供货方案、流程、响应及时性进行综合评分：</w:t>
            </w:r>
          </w:p>
          <w:p>
            <w:pPr>
              <w:rPr>
                <w:rFonts w:hint="eastAsia" w:ascii="宋体" w:hAnsi="宋体" w:cs="Tahoma"/>
                <w:kern w:val="0"/>
                <w:sz w:val="24"/>
                <w:lang w:val="en-US" w:eastAsia="zh-CN"/>
              </w:rPr>
            </w:pPr>
            <w:r>
              <w:rPr>
                <w:rFonts w:hint="eastAsia" w:ascii="宋体" w:hAnsi="宋体" w:cs="Tahoma"/>
                <w:kern w:val="0"/>
                <w:sz w:val="24"/>
                <w:lang w:val="en-US" w:eastAsia="zh-CN"/>
              </w:rPr>
              <w:t>1、供货配送方案详细、全面，配送流程清晰，时间节点明确，能够确保供货的及时性和可靠性。有利于项目实施的，得15分：</w:t>
            </w:r>
          </w:p>
          <w:p>
            <w:pPr>
              <w:rPr>
                <w:rFonts w:hint="eastAsia" w:ascii="宋体" w:hAnsi="宋体" w:cs="Tahoma"/>
                <w:kern w:val="0"/>
                <w:sz w:val="24"/>
                <w:lang w:val="en-US" w:eastAsia="zh-CN"/>
              </w:rPr>
            </w:pPr>
            <w:r>
              <w:rPr>
                <w:rFonts w:hint="eastAsia" w:ascii="宋体" w:hAnsi="宋体" w:cs="Tahoma"/>
                <w:kern w:val="0"/>
                <w:sz w:val="24"/>
                <w:lang w:val="en-US" w:eastAsia="zh-CN"/>
              </w:rPr>
              <w:t>2、供货配送方案较为完整，能够基本满足项目实施的需求，具备基本配送流程，时间节点拖沓，对供货及时性及可靠性无应对措施，得10分：</w:t>
            </w:r>
          </w:p>
          <w:p>
            <w:pPr>
              <w:rPr>
                <w:rFonts w:hint="eastAsia" w:ascii="宋体" w:hAnsi="宋体" w:cs="Tahoma"/>
                <w:kern w:val="0"/>
                <w:sz w:val="24"/>
                <w:lang w:val="en-US" w:eastAsia="zh-CN"/>
              </w:rPr>
            </w:pPr>
            <w:r>
              <w:rPr>
                <w:rFonts w:hint="eastAsia" w:ascii="宋体" w:hAnsi="宋体" w:cs="Tahoma"/>
                <w:kern w:val="0"/>
                <w:sz w:val="24"/>
                <w:lang w:val="en-US" w:eastAsia="zh-CN"/>
              </w:rPr>
              <w:t>3、具备供货配送方案框架，对主要问题无针对性，存在遗漏，细节不完善的，得5分：</w:t>
            </w:r>
          </w:p>
          <w:p>
            <w:pPr>
              <w:rPr>
                <w:rFonts w:ascii="宋体" w:hAnsi="宋体"/>
                <w:sz w:val="24"/>
              </w:rPr>
            </w:pPr>
            <w:r>
              <w:rPr>
                <w:rFonts w:hint="eastAsia" w:ascii="宋体" w:hAnsi="宋体" w:cs="Tahoma"/>
                <w:kern w:val="0"/>
                <w:sz w:val="24"/>
                <w:lang w:val="en-US" w:eastAsia="zh-CN"/>
              </w:rPr>
              <w:t>4、未提供的不得分。</w:t>
            </w:r>
          </w:p>
        </w:tc>
        <w:tc>
          <w:tcPr>
            <w:tcW w:w="2622" w:type="dxa"/>
            <w:vAlign w:val="center"/>
          </w:tcPr>
          <w:p>
            <w:pPr>
              <w:pStyle w:val="4"/>
              <w:spacing w:before="0" w:after="0" w:line="240" w:lineRule="auto"/>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vAlign w:val="center"/>
          </w:tcPr>
          <w:p>
            <w:pPr>
              <w:ind w:firstLine="28"/>
              <w:jc w:val="center"/>
              <w:rPr>
                <w:rFonts w:hint="eastAsia" w:eastAsiaTheme="minorEastAsia"/>
                <w:b/>
                <w:sz w:val="24"/>
                <w:lang w:val="en-US" w:eastAsia="zh-CN"/>
              </w:rPr>
            </w:pPr>
            <w:r>
              <w:rPr>
                <w:rFonts w:hint="eastAsia"/>
                <w:b/>
                <w:sz w:val="24"/>
                <w:lang w:val="en-US" w:eastAsia="zh-CN"/>
              </w:rPr>
              <w:t>4</w:t>
            </w:r>
          </w:p>
        </w:tc>
        <w:tc>
          <w:tcPr>
            <w:tcW w:w="1462" w:type="dxa"/>
            <w:vAlign w:val="center"/>
          </w:tcPr>
          <w:p>
            <w:pPr>
              <w:ind w:firstLine="28"/>
              <w:jc w:val="center"/>
              <w:rPr>
                <w:rFonts w:hint="default" w:ascii="宋体" w:hAnsi="宋体" w:eastAsiaTheme="minorEastAsia"/>
                <w:sz w:val="24"/>
                <w:lang w:val="en-US" w:eastAsia="zh-CN"/>
              </w:rPr>
            </w:pPr>
            <w:r>
              <w:rPr>
                <w:rFonts w:hint="eastAsia" w:ascii="宋体" w:hAnsi="宋体"/>
                <w:sz w:val="24"/>
                <w:lang w:val="en-US" w:eastAsia="zh-CN"/>
              </w:rPr>
              <w:t>应急措施方案</w:t>
            </w:r>
          </w:p>
        </w:tc>
        <w:tc>
          <w:tcPr>
            <w:tcW w:w="913" w:type="dxa"/>
            <w:vAlign w:val="center"/>
          </w:tcPr>
          <w:p>
            <w:pPr>
              <w:ind w:firstLine="28"/>
              <w:jc w:val="center"/>
              <w:rPr>
                <w:rFonts w:hint="default"/>
                <w:b/>
                <w:sz w:val="24"/>
                <w:lang w:val="en-US" w:eastAsia="zh-CN"/>
              </w:rPr>
            </w:pPr>
            <w:r>
              <w:rPr>
                <w:rFonts w:hint="eastAsia"/>
                <w:b/>
                <w:sz w:val="24"/>
                <w:lang w:val="en-US" w:eastAsia="zh-CN"/>
              </w:rPr>
              <w:t>10</w:t>
            </w:r>
          </w:p>
        </w:tc>
        <w:tc>
          <w:tcPr>
            <w:tcW w:w="3796" w:type="dxa"/>
            <w:vAlign w:val="center"/>
          </w:tcPr>
          <w:p>
            <w:pPr>
              <w:rPr>
                <w:rFonts w:hint="eastAsia" w:ascii="宋体" w:hAnsi="宋体"/>
                <w:sz w:val="24"/>
                <w:lang w:val="en-US" w:eastAsia="zh-CN"/>
              </w:rPr>
            </w:pPr>
            <w:r>
              <w:rPr>
                <w:rFonts w:hint="eastAsia" w:ascii="宋体" w:hAnsi="宋体"/>
                <w:sz w:val="24"/>
                <w:lang w:val="en-US" w:eastAsia="zh-CN"/>
              </w:rPr>
              <w:t>根据投标人所提供的保障及应急措施进行综合评分：</w:t>
            </w:r>
          </w:p>
          <w:p>
            <w:pPr>
              <w:numPr>
                <w:ilvl w:val="0"/>
                <w:numId w:val="1"/>
              </w:numPr>
              <w:rPr>
                <w:rFonts w:hint="eastAsia" w:ascii="宋体" w:hAnsi="宋体"/>
                <w:sz w:val="24"/>
                <w:lang w:val="en-US" w:eastAsia="zh-CN"/>
              </w:rPr>
            </w:pPr>
            <w:r>
              <w:rPr>
                <w:rFonts w:hint="eastAsia" w:ascii="宋体" w:hAnsi="宋体"/>
                <w:sz w:val="24"/>
                <w:lang w:val="en-US" w:eastAsia="zh-CN"/>
              </w:rPr>
              <w:t>应急措施方案详细、全面，具备项目实施过程中可能遇到的各种风险预判及应对方法，四楼清晰，流程完善，处理适宜，便于实施执行的，得10分；</w:t>
            </w:r>
          </w:p>
          <w:p>
            <w:pPr>
              <w:numPr>
                <w:ilvl w:val="0"/>
                <w:numId w:val="1"/>
              </w:numPr>
              <w:rPr>
                <w:rFonts w:hint="default" w:ascii="宋体" w:hAnsi="宋体"/>
                <w:sz w:val="24"/>
                <w:lang w:val="en-US" w:eastAsia="zh-CN"/>
              </w:rPr>
            </w:pPr>
            <w:r>
              <w:rPr>
                <w:rFonts w:hint="eastAsia" w:ascii="宋体" w:hAnsi="宋体"/>
                <w:sz w:val="24"/>
                <w:lang w:val="en-US" w:eastAsia="zh-CN"/>
              </w:rPr>
              <w:t>应急预案基本覆盖项目实施过程中可能遇到的风险，包含应急响应流程、责任人、资源调配等关键要素，细节上存在不足的，得6分；</w:t>
            </w:r>
          </w:p>
          <w:p>
            <w:pPr>
              <w:numPr>
                <w:ilvl w:val="0"/>
                <w:numId w:val="1"/>
              </w:numPr>
              <w:rPr>
                <w:rFonts w:hint="default" w:ascii="宋体" w:hAnsi="宋体"/>
                <w:sz w:val="24"/>
                <w:lang w:val="en-US" w:eastAsia="zh-CN"/>
              </w:rPr>
            </w:pPr>
            <w:r>
              <w:rPr>
                <w:rFonts w:hint="eastAsia" w:ascii="宋体" w:hAnsi="宋体"/>
                <w:sz w:val="24"/>
                <w:lang w:val="en-US" w:eastAsia="zh-CN"/>
              </w:rPr>
              <w:t>应急预案完整性、详尽程度和可操作性等方面存在不足。应对措施简单、不够全面的，得1分；</w:t>
            </w:r>
          </w:p>
          <w:p>
            <w:pPr>
              <w:numPr>
                <w:ilvl w:val="0"/>
                <w:numId w:val="1"/>
              </w:numPr>
              <w:rPr>
                <w:rFonts w:hint="default" w:ascii="宋体" w:hAnsi="宋体"/>
                <w:sz w:val="24"/>
                <w:lang w:val="en-US" w:eastAsia="zh-CN"/>
              </w:rPr>
            </w:pPr>
            <w:r>
              <w:rPr>
                <w:rFonts w:hint="eastAsia" w:ascii="宋体" w:hAnsi="宋体"/>
                <w:sz w:val="24"/>
                <w:lang w:val="en-US" w:eastAsia="zh-CN"/>
              </w:rPr>
              <w:t>未提供不得分。</w:t>
            </w:r>
          </w:p>
        </w:tc>
        <w:tc>
          <w:tcPr>
            <w:tcW w:w="2622" w:type="dxa"/>
            <w:vAlign w:val="center"/>
          </w:tcPr>
          <w:p>
            <w:pPr>
              <w:pStyle w:val="4"/>
              <w:spacing w:before="0" w:after="0" w:line="240" w:lineRule="auto"/>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pPr>
              <w:ind w:firstLine="28"/>
              <w:jc w:val="center"/>
              <w:rPr>
                <w:rFonts w:hint="default" w:eastAsiaTheme="minorEastAsia"/>
                <w:b/>
                <w:sz w:val="24"/>
                <w:lang w:val="en-US" w:eastAsia="zh-CN"/>
              </w:rPr>
            </w:pPr>
            <w:r>
              <w:rPr>
                <w:rFonts w:hint="eastAsia"/>
                <w:b/>
                <w:sz w:val="24"/>
                <w:lang w:val="en-US" w:eastAsia="zh-CN"/>
              </w:rPr>
              <w:t>5</w:t>
            </w:r>
          </w:p>
        </w:tc>
        <w:tc>
          <w:tcPr>
            <w:tcW w:w="1462" w:type="dxa"/>
            <w:vAlign w:val="center"/>
          </w:tcPr>
          <w:p>
            <w:pPr>
              <w:ind w:firstLine="28"/>
              <w:jc w:val="center"/>
              <w:rPr>
                <w:rFonts w:hint="default" w:eastAsiaTheme="minorEastAsia"/>
                <w:sz w:val="24"/>
                <w:lang w:val="en-US" w:eastAsia="zh-CN"/>
              </w:rPr>
            </w:pPr>
            <w:r>
              <w:rPr>
                <w:rFonts w:hint="eastAsia" w:ascii="宋体" w:hAnsi="宋体"/>
                <w:sz w:val="24"/>
              </w:rPr>
              <w:t>售后服务</w:t>
            </w:r>
            <w:r>
              <w:rPr>
                <w:rFonts w:hint="eastAsia" w:ascii="宋体" w:hAnsi="宋体"/>
                <w:sz w:val="24"/>
                <w:lang w:val="en-US" w:eastAsia="zh-CN"/>
              </w:rPr>
              <w:t>措施方案</w:t>
            </w:r>
          </w:p>
        </w:tc>
        <w:tc>
          <w:tcPr>
            <w:tcW w:w="913" w:type="dxa"/>
            <w:vAlign w:val="center"/>
          </w:tcPr>
          <w:p>
            <w:pPr>
              <w:ind w:firstLine="28"/>
              <w:jc w:val="center"/>
              <w:rPr>
                <w:rFonts w:hint="default" w:eastAsiaTheme="minorEastAsia"/>
                <w:b/>
                <w:sz w:val="24"/>
                <w:lang w:val="en-US" w:eastAsia="zh-CN"/>
              </w:rPr>
            </w:pPr>
            <w:r>
              <w:rPr>
                <w:rFonts w:hint="eastAsia"/>
                <w:b/>
                <w:sz w:val="24"/>
                <w:lang w:val="en-US" w:eastAsia="zh-CN"/>
              </w:rPr>
              <w:t>10</w:t>
            </w:r>
          </w:p>
        </w:tc>
        <w:tc>
          <w:tcPr>
            <w:tcW w:w="3796" w:type="dxa"/>
            <w:vAlign w:val="center"/>
          </w:tcPr>
          <w:p>
            <w:pPr>
              <w:ind w:firstLine="28"/>
              <w:jc w:val="both"/>
              <w:rPr>
                <w:rFonts w:hint="eastAsia"/>
                <w:sz w:val="24"/>
              </w:rPr>
            </w:pPr>
            <w:r>
              <w:rPr>
                <w:rFonts w:hint="eastAsia"/>
                <w:sz w:val="24"/>
              </w:rPr>
              <w:t>依据投标人投标文件中提供的售后服务管理制度、保障措施、时间保证等情况评分。</w:t>
            </w:r>
          </w:p>
          <w:p>
            <w:pPr>
              <w:numPr>
                <w:ilvl w:val="0"/>
                <w:numId w:val="2"/>
              </w:numPr>
              <w:ind w:firstLine="28"/>
              <w:jc w:val="both"/>
              <w:rPr>
                <w:rFonts w:hint="eastAsia"/>
                <w:sz w:val="24"/>
              </w:rPr>
            </w:pPr>
            <w:r>
              <w:rPr>
                <w:rFonts w:hint="eastAsia"/>
                <w:sz w:val="24"/>
              </w:rPr>
              <w:t>售后保障措施详实，服务管理制度应先进合理，确保服务的专业高效，覆盖售后服务的各个环节，确保服务可靠稳定。时间保证符合采购人使用要求，确保在产品出现问题时能够及时响应和退换或提供有效的解决方案的,得</w:t>
            </w:r>
            <w:r>
              <w:rPr>
                <w:rFonts w:hint="eastAsia"/>
                <w:sz w:val="24"/>
                <w:lang w:val="en-US" w:eastAsia="zh-CN"/>
              </w:rPr>
              <w:t>10</w:t>
            </w:r>
            <w:r>
              <w:rPr>
                <w:rFonts w:hint="eastAsia"/>
                <w:sz w:val="24"/>
              </w:rPr>
              <w:t>分;</w:t>
            </w:r>
          </w:p>
          <w:p>
            <w:pPr>
              <w:numPr>
                <w:ilvl w:val="0"/>
                <w:numId w:val="2"/>
              </w:numPr>
              <w:ind w:firstLine="28"/>
              <w:jc w:val="both"/>
              <w:rPr>
                <w:rFonts w:hint="eastAsia"/>
                <w:sz w:val="24"/>
              </w:rPr>
            </w:pPr>
            <w:r>
              <w:rPr>
                <w:rFonts w:hint="eastAsia"/>
                <w:sz w:val="24"/>
              </w:rPr>
              <w:t>售后服务管理制度存在不足，但整体框架可行，有改进空间，保障措施有描述，但缺乏细节，时间保证基本能够满足采购人的使用要求，但存在延迟或不够明确的，得</w:t>
            </w:r>
            <w:r>
              <w:rPr>
                <w:rFonts w:hint="eastAsia"/>
                <w:sz w:val="24"/>
                <w:lang w:val="en-US" w:eastAsia="zh-CN"/>
              </w:rPr>
              <w:t>6</w:t>
            </w:r>
            <w:r>
              <w:rPr>
                <w:rFonts w:hint="eastAsia"/>
                <w:sz w:val="24"/>
              </w:rPr>
              <w:t>分；</w:t>
            </w:r>
          </w:p>
          <w:p>
            <w:pPr>
              <w:numPr>
                <w:ilvl w:val="0"/>
                <w:numId w:val="2"/>
              </w:numPr>
              <w:ind w:firstLine="28"/>
              <w:jc w:val="both"/>
              <w:rPr>
                <w:rFonts w:hint="eastAsia"/>
                <w:sz w:val="24"/>
              </w:rPr>
            </w:pPr>
            <w:r>
              <w:rPr>
                <w:rFonts w:hint="eastAsia"/>
                <w:sz w:val="24"/>
              </w:rPr>
              <w:t>内容售后服务简略、响应时间较长的，得1分；</w:t>
            </w:r>
          </w:p>
          <w:p>
            <w:pPr>
              <w:numPr>
                <w:ilvl w:val="0"/>
                <w:numId w:val="2"/>
              </w:numPr>
              <w:ind w:firstLine="28"/>
              <w:jc w:val="both"/>
              <w:rPr>
                <w:rFonts w:hint="eastAsia"/>
                <w:sz w:val="24"/>
              </w:rPr>
            </w:pPr>
            <w:r>
              <w:rPr>
                <w:rFonts w:hint="eastAsia"/>
                <w:sz w:val="24"/>
              </w:rPr>
              <w:t>未提供的不得分。</w:t>
            </w:r>
          </w:p>
        </w:tc>
        <w:tc>
          <w:tcPr>
            <w:tcW w:w="2622" w:type="dxa"/>
            <w:vAlign w:val="center"/>
          </w:tcPr>
          <w:p>
            <w:pPr>
              <w:pStyle w:val="4"/>
              <w:spacing w:before="0" w:after="0" w:line="240" w:lineRule="auto"/>
              <w:rPr>
                <w:rFonts w:eastAsia="宋体"/>
                <w:szCs w:val="24"/>
              </w:rPr>
            </w:pPr>
            <w:r>
              <w:rPr>
                <w:rFonts w:eastAsia="宋体"/>
                <w:szCs w:val="24"/>
              </w:rPr>
              <w:t>售后服务承诺须加盖投标人公章</w:t>
            </w:r>
            <w:r>
              <w:rPr>
                <w:rFonts w:hint="eastAsia" w:eastAsia="宋体"/>
                <w:szCs w:val="24"/>
              </w:rPr>
              <w:t>，</w:t>
            </w:r>
            <w:r>
              <w:rPr>
                <w:rFonts w:eastAsia="宋体"/>
                <w:szCs w:val="24"/>
              </w:rPr>
              <w:t>否则视为无效承诺</w:t>
            </w:r>
            <w:r>
              <w:rPr>
                <w:rFonts w:hint="eastAsia" w:eastAsia="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pPr>
              <w:ind w:firstLine="28"/>
              <w:jc w:val="center"/>
              <w:rPr>
                <w:rFonts w:hint="default"/>
                <w:b/>
                <w:sz w:val="24"/>
                <w:lang w:val="en-US" w:eastAsia="zh-CN"/>
              </w:rPr>
            </w:pPr>
            <w:r>
              <w:rPr>
                <w:rFonts w:hint="eastAsia"/>
                <w:b/>
                <w:sz w:val="24"/>
                <w:lang w:val="en-US" w:eastAsia="zh-CN"/>
              </w:rPr>
              <w:t>6</w:t>
            </w:r>
          </w:p>
        </w:tc>
        <w:tc>
          <w:tcPr>
            <w:tcW w:w="1462" w:type="dxa"/>
            <w:vAlign w:val="center"/>
          </w:tcPr>
          <w:p>
            <w:pPr>
              <w:ind w:firstLine="28"/>
              <w:jc w:val="center"/>
              <w:rPr>
                <w:rFonts w:hint="default" w:ascii="宋体" w:hAnsi="宋体" w:eastAsiaTheme="minorEastAsia"/>
                <w:sz w:val="24"/>
                <w:lang w:val="en-US" w:eastAsia="zh-CN"/>
              </w:rPr>
            </w:pPr>
            <w:bookmarkStart w:id="0" w:name="OLE_LINK1"/>
            <w:r>
              <w:rPr>
                <w:rFonts w:hint="eastAsia" w:ascii="宋体" w:hAnsi="宋体"/>
                <w:sz w:val="24"/>
                <w:lang w:val="en-US" w:eastAsia="zh-CN"/>
              </w:rPr>
              <w:t>运营管理服务方案</w:t>
            </w:r>
            <w:bookmarkEnd w:id="0"/>
          </w:p>
        </w:tc>
        <w:tc>
          <w:tcPr>
            <w:tcW w:w="913" w:type="dxa"/>
            <w:vAlign w:val="center"/>
          </w:tcPr>
          <w:p>
            <w:pPr>
              <w:ind w:firstLine="28"/>
              <w:jc w:val="center"/>
              <w:rPr>
                <w:rFonts w:hint="default"/>
                <w:b/>
                <w:sz w:val="24"/>
                <w:lang w:val="en-US" w:eastAsia="zh-CN"/>
              </w:rPr>
            </w:pPr>
            <w:r>
              <w:rPr>
                <w:rFonts w:hint="eastAsia"/>
                <w:b/>
                <w:sz w:val="24"/>
                <w:lang w:val="en-US" w:eastAsia="zh-CN"/>
              </w:rPr>
              <w:t>10</w:t>
            </w:r>
          </w:p>
        </w:tc>
        <w:tc>
          <w:tcPr>
            <w:tcW w:w="3796" w:type="dxa"/>
            <w:vAlign w:val="center"/>
          </w:tcPr>
          <w:p>
            <w:pPr>
              <w:numPr>
                <w:ilvl w:val="0"/>
                <w:numId w:val="0"/>
              </w:numPr>
              <w:jc w:val="both"/>
              <w:rPr>
                <w:rFonts w:hint="eastAsia"/>
                <w:sz w:val="24"/>
                <w:lang w:val="en-US" w:eastAsia="zh-CN"/>
              </w:rPr>
            </w:pPr>
            <w:r>
              <w:rPr>
                <w:rFonts w:hint="eastAsia"/>
                <w:sz w:val="24"/>
                <w:lang w:val="en-US" w:eastAsia="zh-CN"/>
              </w:rPr>
              <w:t>根据投标人为本项目提供的其他服务支持及培训（包括整体投入、配套制度建设及其他支持等），进行综合评分；</w:t>
            </w:r>
          </w:p>
          <w:p>
            <w:pPr>
              <w:numPr>
                <w:ilvl w:val="0"/>
                <w:numId w:val="3"/>
              </w:numPr>
              <w:jc w:val="both"/>
              <w:rPr>
                <w:rFonts w:hint="eastAsia"/>
                <w:sz w:val="24"/>
                <w:lang w:val="en-US" w:eastAsia="zh-CN"/>
              </w:rPr>
            </w:pPr>
            <w:r>
              <w:rPr>
                <w:rFonts w:hint="eastAsia"/>
                <w:sz w:val="24"/>
                <w:lang w:val="en-US" w:eastAsia="zh-CN"/>
              </w:rPr>
              <w:t>方案相近全面、覆盖面广，操作流程清晰明确，易于理解执行。配套运营制度完善，利于项目顺利实施、长期满足项目需求的，得10分；</w:t>
            </w:r>
          </w:p>
          <w:p>
            <w:pPr>
              <w:numPr>
                <w:ilvl w:val="0"/>
                <w:numId w:val="3"/>
              </w:numPr>
              <w:jc w:val="both"/>
              <w:rPr>
                <w:rFonts w:hint="default"/>
                <w:sz w:val="24"/>
                <w:lang w:val="en-US" w:eastAsia="zh-CN"/>
              </w:rPr>
            </w:pPr>
            <w:r>
              <w:rPr>
                <w:rFonts w:hint="eastAsia"/>
                <w:sz w:val="24"/>
                <w:lang w:val="en-US" w:eastAsia="zh-CN"/>
              </w:rPr>
              <w:t>方案描述基本覆盖、具备简单操作流程、可理解执行，配套运营制度有欠缺，基本满足项目需求的，得6分；</w:t>
            </w:r>
          </w:p>
          <w:p>
            <w:pPr>
              <w:numPr>
                <w:ilvl w:val="0"/>
                <w:numId w:val="3"/>
              </w:numPr>
              <w:jc w:val="both"/>
              <w:rPr>
                <w:rFonts w:hint="default"/>
                <w:sz w:val="24"/>
                <w:lang w:val="en-US" w:eastAsia="zh-CN"/>
              </w:rPr>
            </w:pPr>
            <w:r>
              <w:rPr>
                <w:rFonts w:hint="eastAsia"/>
                <w:sz w:val="24"/>
                <w:lang w:val="en-US" w:eastAsia="zh-CN"/>
              </w:rPr>
              <w:t>方案不够完善、无操作流程，执行困难，不能满足项目需求的，得1分；</w:t>
            </w:r>
          </w:p>
          <w:p>
            <w:pPr>
              <w:numPr>
                <w:ilvl w:val="0"/>
                <w:numId w:val="3"/>
              </w:numPr>
              <w:jc w:val="both"/>
              <w:rPr>
                <w:rFonts w:hint="default"/>
                <w:sz w:val="24"/>
                <w:lang w:val="en-US" w:eastAsia="zh-CN"/>
              </w:rPr>
            </w:pPr>
            <w:r>
              <w:rPr>
                <w:rFonts w:hint="eastAsia"/>
                <w:sz w:val="24"/>
              </w:rPr>
              <w:t>未提供的不得分。</w:t>
            </w:r>
          </w:p>
        </w:tc>
        <w:tc>
          <w:tcPr>
            <w:tcW w:w="2622" w:type="dxa"/>
            <w:vAlign w:val="center"/>
          </w:tcPr>
          <w:p>
            <w:pPr>
              <w:pStyle w:val="4"/>
              <w:spacing w:before="0" w:after="0" w:line="240" w:lineRule="auto"/>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hint="eastAsia" w:eastAsiaTheme="minorEastAsia"/>
                <w:sz w:val="24"/>
                <w:lang w:val="en-US" w:eastAsia="zh-CN"/>
              </w:rPr>
            </w:pPr>
            <w:r>
              <w:rPr>
                <w:rFonts w:hint="eastAsia"/>
                <w:b/>
                <w:sz w:val="24"/>
                <w:lang w:val="en-US" w:eastAsia="zh-CN"/>
              </w:rPr>
              <w:t>7</w:t>
            </w:r>
          </w:p>
        </w:tc>
        <w:tc>
          <w:tcPr>
            <w:tcW w:w="1462" w:type="dxa"/>
            <w:vAlign w:val="center"/>
          </w:tcPr>
          <w:p>
            <w:pPr>
              <w:ind w:firstLine="28"/>
              <w:jc w:val="center"/>
              <w:rPr>
                <w:sz w:val="24"/>
              </w:rPr>
            </w:pPr>
            <w:r>
              <w:rPr>
                <w:sz w:val="24"/>
              </w:rPr>
              <w:t>投标报价</w:t>
            </w:r>
          </w:p>
        </w:tc>
        <w:tc>
          <w:tcPr>
            <w:tcW w:w="913" w:type="dxa"/>
            <w:vAlign w:val="center"/>
          </w:tcPr>
          <w:p>
            <w:pPr>
              <w:ind w:firstLine="28"/>
              <w:jc w:val="center"/>
              <w:rPr>
                <w:sz w:val="24"/>
              </w:rPr>
            </w:pPr>
            <w:r>
              <w:rPr>
                <w:rFonts w:hint="eastAsia"/>
                <w:b/>
                <w:sz w:val="24"/>
                <w:lang w:val="en-US" w:eastAsia="zh-CN"/>
              </w:rPr>
              <w:t>30</w:t>
            </w:r>
          </w:p>
        </w:tc>
        <w:tc>
          <w:tcPr>
            <w:tcW w:w="3796" w:type="dxa"/>
            <w:vAlign w:val="center"/>
          </w:tcPr>
          <w:p>
            <w:pPr>
              <w:rPr>
                <w:sz w:val="24"/>
              </w:rPr>
            </w:pPr>
            <w:r>
              <w:rPr>
                <w:sz w:val="24"/>
              </w:rPr>
              <w:t>满足招标文件要求且投标价格最低的投标报价为评标基准价，其价格分为满分。其他投标人的价格分统一按照下列公式计算：</w:t>
            </w:r>
          </w:p>
          <w:p>
            <w:pPr>
              <w:rPr>
                <w:sz w:val="24"/>
              </w:rPr>
            </w:pPr>
            <w:r>
              <w:rPr>
                <w:sz w:val="24"/>
              </w:rPr>
              <w:t>投标报价得分＝（评标基准价/投标报价）×</w:t>
            </w:r>
            <w:r>
              <w:rPr>
                <w:rFonts w:hint="eastAsia"/>
                <w:sz w:val="24"/>
              </w:rPr>
              <w:t>3</w:t>
            </w:r>
            <w:r>
              <w:rPr>
                <w:sz w:val="24"/>
              </w:rPr>
              <w:t>0。</w:t>
            </w:r>
          </w:p>
        </w:tc>
        <w:tc>
          <w:tcPr>
            <w:tcW w:w="2622" w:type="dxa"/>
            <w:vAlign w:val="center"/>
          </w:tcPr>
          <w:p>
            <w:pPr>
              <w:ind w:left="-38"/>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97" w:type="dxa"/>
            <w:gridSpan w:val="2"/>
            <w:vAlign w:val="center"/>
          </w:tcPr>
          <w:p>
            <w:pPr>
              <w:ind w:firstLine="28"/>
              <w:jc w:val="center"/>
              <w:rPr>
                <w:sz w:val="24"/>
              </w:rPr>
            </w:pPr>
            <w:r>
              <w:rPr>
                <w:sz w:val="24"/>
              </w:rPr>
              <w:t>合计</w:t>
            </w:r>
          </w:p>
        </w:tc>
        <w:tc>
          <w:tcPr>
            <w:tcW w:w="913" w:type="dxa"/>
            <w:vAlign w:val="center"/>
          </w:tcPr>
          <w:p>
            <w:pPr>
              <w:ind w:firstLine="28"/>
              <w:jc w:val="center"/>
              <w:rPr>
                <w:sz w:val="24"/>
              </w:rPr>
            </w:pPr>
            <w:r>
              <w:rPr>
                <w:rFonts w:hint="eastAsia"/>
                <w:b/>
                <w:sz w:val="24"/>
                <w:lang w:val="en-US" w:eastAsia="zh-CN"/>
              </w:rPr>
              <w:t>100</w:t>
            </w:r>
          </w:p>
        </w:tc>
        <w:tc>
          <w:tcPr>
            <w:tcW w:w="6418" w:type="dxa"/>
            <w:gridSpan w:val="2"/>
            <w:vAlign w:val="center"/>
          </w:tcPr>
          <w:p>
            <w:pPr>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7A"/>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ED2FC"/>
    <w:multiLevelType w:val="singleLevel"/>
    <w:tmpl w:val="F89ED2FC"/>
    <w:lvl w:ilvl="0" w:tentative="0">
      <w:start w:val="1"/>
      <w:numFmt w:val="decimal"/>
      <w:suff w:val="nothing"/>
      <w:lvlText w:val="%1、"/>
      <w:lvlJc w:val="left"/>
    </w:lvl>
  </w:abstractNum>
  <w:abstractNum w:abstractNumId="1">
    <w:nsid w:val="F981F0AF"/>
    <w:multiLevelType w:val="singleLevel"/>
    <w:tmpl w:val="F981F0AF"/>
    <w:lvl w:ilvl="0" w:tentative="0">
      <w:start w:val="1"/>
      <w:numFmt w:val="decimal"/>
      <w:suff w:val="nothing"/>
      <w:lvlText w:val="%1、"/>
      <w:lvlJc w:val="left"/>
    </w:lvl>
  </w:abstractNum>
  <w:abstractNum w:abstractNumId="2">
    <w:nsid w:val="24D2C742"/>
    <w:multiLevelType w:val="singleLevel"/>
    <w:tmpl w:val="24D2C74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06430"/>
    <w:rsid w:val="35E65612"/>
    <w:rsid w:val="3E954240"/>
    <w:rsid w:val="425B4A1B"/>
    <w:rsid w:val="449A1098"/>
    <w:rsid w:val="46D11F75"/>
    <w:rsid w:val="601E603C"/>
    <w:rsid w:val="60C1519C"/>
    <w:rsid w:val="6A310A46"/>
    <w:rsid w:val="79D8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2024-11-27T05:38:00Z</dcterms:created>
  <dc:creator>xtt</dc:creator>
  <cp:lastModifiedBy>xtt</cp:lastModifiedBy>
  <dcterms:modified xsi:type="dcterms:W3CDTF">2024-11-29T01:38:42Z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049C605607EA4BEA979BFA4D09C20FA6</vt:lpwstr>
  </property>
</Properties>
</file>